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184E" w14:textId="77777777" w:rsidR="00A45578" w:rsidRDefault="00A45578" w:rsidP="00A45578">
      <w:pPr>
        <w:jc w:val="center"/>
        <w:rPr>
          <w:rFonts w:ascii="Arial" w:hAnsi="Arial" w:cs="Arial"/>
          <w:b/>
          <w:sz w:val="32"/>
          <w:szCs w:val="32"/>
        </w:rPr>
      </w:pPr>
    </w:p>
    <w:p w14:paraId="2A8F17EB" w14:textId="77777777" w:rsidR="00A45578" w:rsidRDefault="00A45578" w:rsidP="00A45578">
      <w:pPr>
        <w:jc w:val="center"/>
        <w:rPr>
          <w:rFonts w:ascii="Arial" w:hAnsi="Arial" w:cs="Arial"/>
          <w:b/>
          <w:sz w:val="32"/>
          <w:szCs w:val="32"/>
        </w:rPr>
      </w:pPr>
    </w:p>
    <w:tbl>
      <w:tblPr>
        <w:tblStyle w:val="TableGrid"/>
        <w:tblpPr w:leftFromText="180" w:rightFromText="180" w:vertAnchor="text" w:horzAnchor="margin" w:tblpY="54"/>
        <w:tblW w:w="0" w:type="auto"/>
        <w:tblLook w:val="0600" w:firstRow="0" w:lastRow="0" w:firstColumn="0" w:lastColumn="0" w:noHBand="1" w:noVBand="1"/>
      </w:tblPr>
      <w:tblGrid>
        <w:gridCol w:w="1404"/>
        <w:gridCol w:w="8746"/>
      </w:tblGrid>
      <w:tr w:rsidR="00A45578" w14:paraId="0858E2A5" w14:textId="77777777" w:rsidTr="00DB3A64">
        <w:tc>
          <w:tcPr>
            <w:tcW w:w="0" w:type="auto"/>
            <w:gridSpan w:val="2"/>
            <w:shd w:val="clear" w:color="auto" w:fill="auto"/>
            <w:vAlign w:val="center"/>
          </w:tcPr>
          <w:p w14:paraId="4E9552F6" w14:textId="77777777" w:rsidR="00A45578" w:rsidRPr="00A63676" w:rsidRDefault="00A45578" w:rsidP="00DB3A64">
            <w:pPr>
              <w:jc w:val="center"/>
              <w:rPr>
                <w:rFonts w:ascii="Century Gothic" w:hAnsi="Century Gothic" w:cs="Arial"/>
                <w:b/>
                <w:color w:val="002060"/>
                <w:sz w:val="32"/>
                <w:szCs w:val="32"/>
              </w:rPr>
            </w:pPr>
          </w:p>
          <w:p w14:paraId="519C7C5F" w14:textId="77777777" w:rsidR="00A45578" w:rsidRPr="00A63676" w:rsidRDefault="00A45578" w:rsidP="00DB3A64">
            <w:pPr>
              <w:jc w:val="center"/>
              <w:rPr>
                <w:rFonts w:ascii="Century Gothic" w:hAnsi="Century Gothic" w:cs="Arial"/>
                <w:b/>
                <w:color w:val="002060"/>
                <w:sz w:val="32"/>
                <w:szCs w:val="32"/>
              </w:rPr>
            </w:pPr>
            <w:r w:rsidRPr="00A63676">
              <w:rPr>
                <w:rFonts w:ascii="Century Gothic" w:hAnsi="Century Gothic" w:cs="Arial"/>
                <w:b/>
                <w:color w:val="002060"/>
                <w:sz w:val="32"/>
                <w:szCs w:val="32"/>
              </w:rPr>
              <w:t>Case Study</w:t>
            </w:r>
          </w:p>
          <w:p w14:paraId="7B5C384D" w14:textId="77777777" w:rsidR="00A45578" w:rsidRPr="00A63676" w:rsidRDefault="00A45578" w:rsidP="00DB3A64">
            <w:pPr>
              <w:jc w:val="center"/>
              <w:rPr>
                <w:rFonts w:ascii="Century Gothic" w:hAnsi="Century Gothic" w:cs="Arial"/>
                <w:b/>
                <w:color w:val="002060"/>
              </w:rPr>
            </w:pPr>
          </w:p>
          <w:p w14:paraId="1BE8E27A" w14:textId="3F46AFCF" w:rsidR="00A45578" w:rsidRPr="00A63676" w:rsidRDefault="00A45578" w:rsidP="00DB3A64">
            <w:pPr>
              <w:jc w:val="center"/>
              <w:rPr>
                <w:rFonts w:ascii="Century Gothic" w:hAnsi="Century Gothic" w:cs="Arial"/>
                <w:b/>
                <w:color w:val="002060"/>
                <w:sz w:val="32"/>
                <w:szCs w:val="32"/>
              </w:rPr>
            </w:pPr>
            <w:r w:rsidRPr="00A63676">
              <w:rPr>
                <w:rFonts w:ascii="Century Gothic" w:hAnsi="Century Gothic" w:cs="Arial"/>
                <w:b/>
                <w:color w:val="002060"/>
                <w:sz w:val="32"/>
                <w:szCs w:val="32"/>
              </w:rPr>
              <w:t>Partnership working between Primary Care IT and The Confederation</w:t>
            </w:r>
            <w:r>
              <w:rPr>
                <w:rFonts w:ascii="Century Gothic" w:hAnsi="Century Gothic" w:cs="Arial"/>
                <w:b/>
                <w:color w:val="002060"/>
                <w:sz w:val="32"/>
                <w:szCs w:val="32"/>
              </w:rPr>
              <w:t>, Hillingdon</w:t>
            </w:r>
            <w:r w:rsidRPr="00A63676">
              <w:rPr>
                <w:rFonts w:ascii="Century Gothic" w:hAnsi="Century Gothic" w:cs="Arial"/>
                <w:b/>
                <w:color w:val="002060"/>
                <w:sz w:val="32"/>
                <w:szCs w:val="32"/>
              </w:rPr>
              <w:t xml:space="preserve"> CIC leads to improvements in </w:t>
            </w:r>
            <w:proofErr w:type="gramStart"/>
            <w:r w:rsidRPr="00A63676">
              <w:rPr>
                <w:rFonts w:ascii="Century Gothic" w:hAnsi="Century Gothic" w:cs="Arial"/>
                <w:b/>
                <w:color w:val="002060"/>
                <w:sz w:val="32"/>
                <w:szCs w:val="32"/>
              </w:rPr>
              <w:t>North West</w:t>
            </w:r>
            <w:proofErr w:type="gramEnd"/>
            <w:r w:rsidRPr="00A63676">
              <w:rPr>
                <w:rFonts w:ascii="Century Gothic" w:hAnsi="Century Gothic" w:cs="Arial"/>
                <w:b/>
                <w:color w:val="002060"/>
                <w:sz w:val="32"/>
                <w:szCs w:val="32"/>
              </w:rPr>
              <w:t xml:space="preserve"> London ICS Enhanced Service </w:t>
            </w:r>
            <w:r>
              <w:rPr>
                <w:rFonts w:ascii="Century Gothic" w:hAnsi="Century Gothic" w:cs="Arial"/>
                <w:b/>
                <w:color w:val="002060"/>
                <w:sz w:val="32"/>
                <w:szCs w:val="32"/>
              </w:rPr>
              <w:t>NDH</w:t>
            </w:r>
            <w:r w:rsidRPr="00A63676">
              <w:rPr>
                <w:rFonts w:ascii="Century Gothic" w:hAnsi="Century Gothic" w:cs="Arial"/>
                <w:b/>
                <w:color w:val="002060"/>
                <w:sz w:val="32"/>
                <w:szCs w:val="32"/>
              </w:rPr>
              <w:t xml:space="preserve"> targets</w:t>
            </w:r>
          </w:p>
          <w:p w14:paraId="50452994" w14:textId="77777777" w:rsidR="00A45578" w:rsidRPr="00A63676" w:rsidRDefault="00A45578" w:rsidP="00DB3A64">
            <w:pPr>
              <w:jc w:val="center"/>
              <w:rPr>
                <w:rFonts w:ascii="Century Gothic" w:hAnsi="Century Gothic" w:cs="Arial"/>
                <w:b/>
                <w:color w:val="FFFFFF" w:themeColor="background1"/>
                <w:sz w:val="32"/>
                <w:szCs w:val="32"/>
              </w:rPr>
            </w:pPr>
          </w:p>
        </w:tc>
      </w:tr>
      <w:tr w:rsidR="00A45578" w14:paraId="7A91E5F2" w14:textId="77777777" w:rsidTr="00DB3A64">
        <w:trPr>
          <w:trHeight w:val="1263"/>
        </w:trPr>
        <w:tc>
          <w:tcPr>
            <w:tcW w:w="0" w:type="auto"/>
            <w:shd w:val="clear" w:color="auto" w:fill="0070C0"/>
          </w:tcPr>
          <w:p w14:paraId="54FB792E" w14:textId="77777777" w:rsidR="00A45578" w:rsidRPr="00A63676" w:rsidRDefault="00A45578" w:rsidP="00DB3A64">
            <w:pPr>
              <w:jc w:val="center"/>
              <w:rPr>
                <w:rFonts w:ascii="Century Gothic" w:hAnsi="Century Gothic" w:cs="Arial"/>
                <w:b/>
                <w:color w:val="FFFFFF" w:themeColor="background1"/>
                <w:sz w:val="20"/>
                <w:szCs w:val="20"/>
              </w:rPr>
            </w:pPr>
          </w:p>
          <w:p w14:paraId="4E64BE1D" w14:textId="77777777" w:rsidR="00A45578" w:rsidRPr="00A63676" w:rsidRDefault="00A45578" w:rsidP="00DB3A64">
            <w:pPr>
              <w:jc w:val="center"/>
              <w:rPr>
                <w:rFonts w:ascii="Century Gothic" w:hAnsi="Century Gothic" w:cs="Arial"/>
                <w:b/>
                <w:color w:val="FFFFFF" w:themeColor="background1"/>
                <w:sz w:val="20"/>
                <w:szCs w:val="20"/>
              </w:rPr>
            </w:pPr>
          </w:p>
          <w:p w14:paraId="09DE47AA" w14:textId="77777777" w:rsidR="00A45578" w:rsidRPr="00A63676" w:rsidRDefault="00A45578" w:rsidP="00DB3A64">
            <w:pPr>
              <w:jc w:val="center"/>
              <w:rPr>
                <w:rFonts w:ascii="Century Gothic" w:hAnsi="Century Gothic" w:cs="Arial"/>
                <w:b/>
                <w:color w:val="FFFFFF" w:themeColor="background1"/>
                <w:sz w:val="20"/>
                <w:szCs w:val="20"/>
              </w:rPr>
            </w:pPr>
          </w:p>
          <w:p w14:paraId="2F6FF22A" w14:textId="77777777" w:rsidR="00A45578" w:rsidRPr="00A63676" w:rsidRDefault="00A45578" w:rsidP="00DB3A64">
            <w:pPr>
              <w:jc w:val="center"/>
              <w:rPr>
                <w:rFonts w:ascii="Century Gothic" w:hAnsi="Century Gothic" w:cs="Arial"/>
                <w:b/>
                <w:color w:val="FFFFFF" w:themeColor="background1"/>
                <w:sz w:val="20"/>
                <w:szCs w:val="20"/>
              </w:rPr>
            </w:pPr>
          </w:p>
          <w:p w14:paraId="74AA11F1" w14:textId="77777777" w:rsidR="00A45578" w:rsidRPr="00A63676" w:rsidRDefault="00A45578" w:rsidP="00DB3A64">
            <w:pPr>
              <w:jc w:val="center"/>
              <w:rPr>
                <w:rFonts w:ascii="Century Gothic" w:hAnsi="Century Gothic" w:cs="Arial"/>
                <w:b/>
                <w:color w:val="FFFFFF" w:themeColor="background1"/>
                <w:sz w:val="20"/>
                <w:szCs w:val="20"/>
              </w:rPr>
            </w:pPr>
          </w:p>
          <w:p w14:paraId="3B7F3ED7" w14:textId="77777777" w:rsidR="00A45578" w:rsidRPr="00A63676" w:rsidRDefault="00A45578" w:rsidP="00DB3A64">
            <w:pPr>
              <w:jc w:val="center"/>
              <w:rPr>
                <w:rFonts w:ascii="Century Gothic" w:hAnsi="Century Gothic" w:cs="Arial"/>
                <w:b/>
                <w:color w:val="FFFFFF" w:themeColor="background1"/>
                <w:sz w:val="20"/>
                <w:szCs w:val="20"/>
              </w:rPr>
            </w:pPr>
            <w:r w:rsidRPr="00A63676">
              <w:rPr>
                <w:rFonts w:ascii="Century Gothic" w:hAnsi="Century Gothic" w:cs="Arial"/>
                <w:b/>
                <w:color w:val="FFFFFF" w:themeColor="background1"/>
                <w:sz w:val="20"/>
                <w:szCs w:val="20"/>
              </w:rPr>
              <w:t>Setting the Scene</w:t>
            </w:r>
          </w:p>
          <w:p w14:paraId="1B9A945A" w14:textId="77777777" w:rsidR="00A45578" w:rsidRPr="00A63676" w:rsidRDefault="00A45578" w:rsidP="00DB3A64">
            <w:pPr>
              <w:jc w:val="center"/>
              <w:rPr>
                <w:rFonts w:ascii="Century Gothic" w:hAnsi="Century Gothic" w:cs="Arial"/>
                <w:b/>
                <w:color w:val="FFFFFF" w:themeColor="background1"/>
                <w:sz w:val="20"/>
                <w:szCs w:val="20"/>
              </w:rPr>
            </w:pPr>
          </w:p>
        </w:tc>
        <w:tc>
          <w:tcPr>
            <w:tcW w:w="0" w:type="auto"/>
            <w:shd w:val="clear" w:color="auto" w:fill="BDD6EE" w:themeFill="accent5" w:themeFillTint="66"/>
          </w:tcPr>
          <w:p w14:paraId="1439F6CC" w14:textId="77777777" w:rsidR="00A45578" w:rsidRPr="00A63676" w:rsidRDefault="00A45578" w:rsidP="00DB3A64">
            <w:pPr>
              <w:rPr>
                <w:rFonts w:ascii="Century Gothic" w:hAnsi="Century Gothic" w:cs="Arial"/>
                <w:color w:val="002060"/>
                <w:sz w:val="20"/>
                <w:szCs w:val="20"/>
              </w:rPr>
            </w:pPr>
            <w:r w:rsidRPr="00A63676">
              <w:rPr>
                <w:rFonts w:ascii="Century Gothic" w:hAnsi="Century Gothic" w:cs="Arial"/>
                <w:color w:val="002060"/>
                <w:sz w:val="20"/>
                <w:szCs w:val="20"/>
              </w:rPr>
              <w:t xml:space="preserve">The Confederation, Hillingdon CIC wanted to improve the quality of information offered to Primary Care Networks (PCNs) in the borough.  It identified Primary Care IT to help practices deliver their Enhanced Services and IIF targets for the PCN DES, especially with its specialist industry knowledge of EMIS and wider systems integration. </w:t>
            </w:r>
          </w:p>
          <w:p w14:paraId="0EBDA922" w14:textId="77777777" w:rsidR="00A45578" w:rsidRPr="00A63676" w:rsidRDefault="00A45578" w:rsidP="00DB3A64">
            <w:pPr>
              <w:rPr>
                <w:rFonts w:ascii="Century Gothic" w:hAnsi="Century Gothic" w:cs="Arial"/>
                <w:color w:val="002060"/>
                <w:sz w:val="20"/>
                <w:szCs w:val="20"/>
              </w:rPr>
            </w:pPr>
          </w:p>
          <w:p w14:paraId="1D0E3999" w14:textId="6BC86D57" w:rsidR="00A45578" w:rsidRPr="00A63676" w:rsidRDefault="00A45578" w:rsidP="00DB3A64">
            <w:pPr>
              <w:rPr>
                <w:rFonts w:ascii="Century Gothic" w:hAnsi="Century Gothic" w:cs="Arial"/>
                <w:color w:val="002060"/>
                <w:sz w:val="20"/>
                <w:szCs w:val="20"/>
              </w:rPr>
            </w:pPr>
            <w:r w:rsidRPr="00A63676">
              <w:rPr>
                <w:rFonts w:ascii="Century Gothic" w:hAnsi="Century Gothic" w:cs="Arial"/>
                <w:color w:val="002060"/>
                <w:sz w:val="20"/>
                <w:szCs w:val="20"/>
              </w:rPr>
              <w:t xml:space="preserve">Complex business rules made the project extremely challenging that required intensive support to practices to ensure </w:t>
            </w:r>
            <w:proofErr w:type="gramStart"/>
            <w:r>
              <w:rPr>
                <w:rFonts w:ascii="Century Gothic" w:hAnsi="Century Gothic" w:cs="Arial"/>
                <w:color w:val="002060"/>
                <w:sz w:val="20"/>
                <w:szCs w:val="20"/>
              </w:rPr>
              <w:t>Non Diabetic</w:t>
            </w:r>
            <w:proofErr w:type="gramEnd"/>
            <w:r>
              <w:rPr>
                <w:rFonts w:ascii="Century Gothic" w:hAnsi="Century Gothic" w:cs="Arial"/>
                <w:color w:val="002060"/>
                <w:sz w:val="20"/>
                <w:szCs w:val="20"/>
              </w:rPr>
              <w:t xml:space="preserve"> Hyperglycaemia</w:t>
            </w:r>
            <w:r w:rsidRPr="00A63676">
              <w:rPr>
                <w:rFonts w:ascii="Century Gothic" w:hAnsi="Century Gothic" w:cs="Arial"/>
                <w:color w:val="002060"/>
                <w:sz w:val="20"/>
                <w:szCs w:val="20"/>
              </w:rPr>
              <w:t xml:space="preserve"> Enhanced Service delivery. Primary Care IT </w:t>
            </w:r>
            <w:r>
              <w:rPr>
                <w:rFonts w:ascii="Century Gothic" w:hAnsi="Century Gothic" w:cs="Arial"/>
                <w:color w:val="002060"/>
                <w:sz w:val="20"/>
                <w:szCs w:val="20"/>
              </w:rPr>
              <w:t>overcame these</w:t>
            </w:r>
            <w:r w:rsidRPr="00A63676">
              <w:rPr>
                <w:rFonts w:ascii="Century Gothic" w:hAnsi="Century Gothic" w:cs="Arial"/>
                <w:color w:val="002060"/>
                <w:sz w:val="20"/>
                <w:szCs w:val="20"/>
              </w:rPr>
              <w:t xml:space="preserve"> challenge</w:t>
            </w:r>
            <w:r>
              <w:rPr>
                <w:rFonts w:ascii="Century Gothic" w:hAnsi="Century Gothic" w:cs="Arial"/>
                <w:color w:val="002060"/>
                <w:sz w:val="20"/>
                <w:szCs w:val="20"/>
              </w:rPr>
              <w:t>s</w:t>
            </w:r>
            <w:r w:rsidRPr="00A63676">
              <w:rPr>
                <w:rFonts w:ascii="Century Gothic" w:hAnsi="Century Gothic" w:cs="Arial"/>
                <w:color w:val="002060"/>
                <w:sz w:val="20"/>
                <w:szCs w:val="20"/>
              </w:rPr>
              <w:t xml:space="preserve"> through a suite of services, including setting up practice alerts and providing templates within the practice’s clinical systems to highlight which patients needed immediate action.  </w:t>
            </w:r>
          </w:p>
          <w:p w14:paraId="45C4578E" w14:textId="77777777" w:rsidR="00A45578" w:rsidRPr="00A63676" w:rsidRDefault="00A45578" w:rsidP="00DB3A64">
            <w:pPr>
              <w:rPr>
                <w:rFonts w:ascii="Century Gothic" w:hAnsi="Century Gothic" w:cs="Arial"/>
                <w:color w:val="002060"/>
                <w:sz w:val="20"/>
                <w:szCs w:val="20"/>
              </w:rPr>
            </w:pPr>
          </w:p>
          <w:p w14:paraId="185FCC8A" w14:textId="77777777" w:rsidR="00A45578" w:rsidRPr="00A63676" w:rsidRDefault="00A45578" w:rsidP="00DB3A64">
            <w:pPr>
              <w:rPr>
                <w:rFonts w:ascii="Century Gothic" w:hAnsi="Century Gothic" w:cs="Arial"/>
                <w:color w:val="002060"/>
                <w:sz w:val="16"/>
                <w:szCs w:val="16"/>
              </w:rPr>
            </w:pPr>
            <w:r w:rsidRPr="00A63676">
              <w:rPr>
                <w:rFonts w:ascii="Century Gothic" w:hAnsi="Century Gothic" w:cs="Arial"/>
                <w:color w:val="002060"/>
                <w:sz w:val="20"/>
                <w:szCs w:val="20"/>
              </w:rPr>
              <w:t xml:space="preserve">Innovative practice dashboards on the </w:t>
            </w:r>
            <w:proofErr w:type="spellStart"/>
            <w:r w:rsidRPr="00A63676">
              <w:rPr>
                <w:rFonts w:ascii="Century Gothic" w:hAnsi="Century Gothic" w:cs="Arial"/>
                <w:color w:val="002060"/>
                <w:sz w:val="20"/>
                <w:szCs w:val="20"/>
              </w:rPr>
              <w:t>OneAnalytics</w:t>
            </w:r>
            <w:proofErr w:type="spellEnd"/>
            <w:r w:rsidRPr="00A63676">
              <w:rPr>
                <w:rFonts w:ascii="Century Gothic" w:hAnsi="Century Gothic" w:cs="Arial"/>
                <w:color w:val="002060"/>
                <w:sz w:val="20"/>
                <w:szCs w:val="20"/>
              </w:rPr>
              <w:t xml:space="preserve"> platform helped practices to monitor and keep track of progress. It also highlighted potential income and current actual income to help practices make decisions about resource allocation. Additionally, the project provided two facilitators who initially worked with the PCNs to help practices navigate the platform as well as to develop plans.</w:t>
            </w:r>
          </w:p>
          <w:p w14:paraId="2E367777" w14:textId="77777777" w:rsidR="00A45578" w:rsidRPr="00A63676" w:rsidRDefault="00A45578" w:rsidP="00DB3A64">
            <w:pPr>
              <w:jc w:val="center"/>
              <w:rPr>
                <w:rFonts w:ascii="Century Gothic" w:hAnsi="Century Gothic" w:cs="Arial"/>
                <w:b/>
                <w:color w:val="002060"/>
                <w:sz w:val="16"/>
                <w:szCs w:val="16"/>
              </w:rPr>
            </w:pPr>
          </w:p>
        </w:tc>
      </w:tr>
      <w:tr w:rsidR="00A45578" w14:paraId="18571A5E" w14:textId="77777777" w:rsidTr="00DB3A64">
        <w:tc>
          <w:tcPr>
            <w:tcW w:w="0" w:type="auto"/>
            <w:shd w:val="clear" w:color="auto" w:fill="0070C0"/>
          </w:tcPr>
          <w:p w14:paraId="4A2F6D53" w14:textId="77777777" w:rsidR="00A45578" w:rsidRPr="00A63676" w:rsidRDefault="00A45578" w:rsidP="00DB3A64">
            <w:pPr>
              <w:jc w:val="center"/>
              <w:rPr>
                <w:rFonts w:ascii="Century Gothic" w:hAnsi="Century Gothic" w:cs="Arial"/>
                <w:b/>
                <w:color w:val="FFFFFF" w:themeColor="background1"/>
                <w:sz w:val="20"/>
                <w:szCs w:val="20"/>
              </w:rPr>
            </w:pPr>
          </w:p>
          <w:p w14:paraId="1881DF19" w14:textId="77777777" w:rsidR="00A45578" w:rsidRPr="00A63676" w:rsidRDefault="00A45578" w:rsidP="00DB3A64">
            <w:pPr>
              <w:jc w:val="center"/>
              <w:rPr>
                <w:rFonts w:ascii="Century Gothic" w:hAnsi="Century Gothic" w:cs="Arial"/>
                <w:b/>
                <w:color w:val="FFFFFF" w:themeColor="background1"/>
                <w:sz w:val="20"/>
                <w:szCs w:val="20"/>
              </w:rPr>
            </w:pPr>
          </w:p>
          <w:p w14:paraId="495882AC" w14:textId="77777777" w:rsidR="00A45578" w:rsidRPr="00A63676" w:rsidRDefault="00A45578" w:rsidP="00DB3A64">
            <w:pPr>
              <w:jc w:val="center"/>
              <w:rPr>
                <w:rFonts w:ascii="Century Gothic" w:hAnsi="Century Gothic" w:cs="Arial"/>
                <w:b/>
                <w:color w:val="FFFFFF" w:themeColor="background1"/>
                <w:sz w:val="20"/>
                <w:szCs w:val="20"/>
              </w:rPr>
            </w:pPr>
          </w:p>
          <w:p w14:paraId="6399C9FD" w14:textId="77777777" w:rsidR="00A45578" w:rsidRPr="00A63676" w:rsidRDefault="00A45578" w:rsidP="00DB3A64">
            <w:pPr>
              <w:jc w:val="center"/>
              <w:rPr>
                <w:rFonts w:ascii="Century Gothic" w:hAnsi="Century Gothic" w:cs="Arial"/>
                <w:b/>
                <w:color w:val="FFFFFF" w:themeColor="background1"/>
                <w:sz w:val="20"/>
                <w:szCs w:val="20"/>
              </w:rPr>
            </w:pPr>
          </w:p>
          <w:p w14:paraId="1DE6D005" w14:textId="77777777" w:rsidR="00A45578" w:rsidRPr="00A63676" w:rsidRDefault="00A45578" w:rsidP="00DB3A64">
            <w:pPr>
              <w:jc w:val="center"/>
              <w:rPr>
                <w:rFonts w:ascii="Century Gothic" w:hAnsi="Century Gothic" w:cs="Arial"/>
                <w:b/>
                <w:color w:val="FFFFFF" w:themeColor="background1"/>
                <w:sz w:val="20"/>
                <w:szCs w:val="20"/>
              </w:rPr>
            </w:pPr>
            <w:r w:rsidRPr="00A63676">
              <w:rPr>
                <w:rFonts w:ascii="Century Gothic" w:hAnsi="Century Gothic" w:cs="Arial"/>
                <w:b/>
                <w:color w:val="FFFFFF" w:themeColor="background1"/>
                <w:sz w:val="20"/>
                <w:szCs w:val="20"/>
              </w:rPr>
              <w:t>Objectives</w:t>
            </w:r>
          </w:p>
          <w:p w14:paraId="3AC712E1" w14:textId="77777777" w:rsidR="00A45578" w:rsidRPr="00A63676" w:rsidRDefault="00A45578" w:rsidP="00DB3A64">
            <w:pPr>
              <w:jc w:val="center"/>
              <w:rPr>
                <w:rFonts w:ascii="Century Gothic" w:hAnsi="Century Gothic" w:cs="Arial"/>
                <w:b/>
                <w:color w:val="FFFFFF" w:themeColor="background1"/>
                <w:sz w:val="20"/>
                <w:szCs w:val="20"/>
              </w:rPr>
            </w:pPr>
          </w:p>
        </w:tc>
        <w:tc>
          <w:tcPr>
            <w:tcW w:w="0" w:type="auto"/>
            <w:shd w:val="clear" w:color="auto" w:fill="BDD6EE" w:themeFill="accent5" w:themeFillTint="66"/>
          </w:tcPr>
          <w:p w14:paraId="022C0B06" w14:textId="77777777" w:rsidR="00A45578" w:rsidRPr="00A63676" w:rsidRDefault="00A45578" w:rsidP="00DB3A64">
            <w:pPr>
              <w:rPr>
                <w:rFonts w:ascii="Century Gothic" w:hAnsi="Century Gothic" w:cs="Arial"/>
                <w:color w:val="002060"/>
                <w:sz w:val="20"/>
                <w:szCs w:val="20"/>
              </w:rPr>
            </w:pPr>
            <w:r w:rsidRPr="00A63676">
              <w:rPr>
                <w:rFonts w:ascii="Century Gothic" w:hAnsi="Century Gothic" w:cs="Arial"/>
                <w:color w:val="002060"/>
                <w:sz w:val="20"/>
                <w:szCs w:val="20"/>
              </w:rPr>
              <w:t>As part of a partnership working arrangement the objectives were to:</w:t>
            </w:r>
          </w:p>
          <w:p w14:paraId="6EAF8B04" w14:textId="48DAB458" w:rsidR="00A45578" w:rsidRPr="00A63676"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To provide a gateway for timely, accurate and complete </w:t>
            </w:r>
            <w:r>
              <w:rPr>
                <w:rFonts w:ascii="Century Gothic" w:hAnsi="Century Gothic" w:cs="Arial"/>
                <w:color w:val="002060"/>
                <w:sz w:val="20"/>
                <w:szCs w:val="20"/>
              </w:rPr>
              <w:t>NDH</w:t>
            </w:r>
            <w:r w:rsidRPr="00A63676">
              <w:rPr>
                <w:rFonts w:ascii="Century Gothic" w:hAnsi="Century Gothic" w:cs="Arial"/>
                <w:color w:val="002060"/>
                <w:sz w:val="20"/>
                <w:szCs w:val="20"/>
              </w:rPr>
              <w:t xml:space="preserve"> business intelligence for 2022/23</w:t>
            </w:r>
          </w:p>
          <w:p w14:paraId="5F750E3E" w14:textId="5C4C2734" w:rsidR="00A45578" w:rsidRPr="00A63676"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To provide single user web portal access for clinicians and non-clinicians with relevant </w:t>
            </w:r>
            <w:r>
              <w:rPr>
                <w:rFonts w:ascii="Century Gothic" w:hAnsi="Century Gothic" w:cs="Arial"/>
                <w:color w:val="002060"/>
                <w:sz w:val="20"/>
                <w:szCs w:val="20"/>
              </w:rPr>
              <w:t>NDH</w:t>
            </w:r>
            <w:r w:rsidRPr="00A63676">
              <w:rPr>
                <w:rFonts w:ascii="Century Gothic" w:hAnsi="Century Gothic" w:cs="Arial"/>
                <w:color w:val="002060"/>
                <w:sz w:val="20"/>
                <w:szCs w:val="20"/>
              </w:rPr>
              <w:t xml:space="preserve"> information 24 hours a day</w:t>
            </w:r>
          </w:p>
          <w:p w14:paraId="28B03FC2" w14:textId="77777777" w:rsidR="00A45578" w:rsidRPr="00A63676"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To provide data quality assurance </w:t>
            </w:r>
            <w:r>
              <w:rPr>
                <w:rFonts w:ascii="Century Gothic" w:hAnsi="Century Gothic" w:cs="Arial"/>
                <w:color w:val="002060"/>
                <w:sz w:val="20"/>
                <w:szCs w:val="20"/>
              </w:rPr>
              <w:t>for</w:t>
            </w:r>
            <w:r w:rsidRPr="00A63676">
              <w:rPr>
                <w:rFonts w:ascii="Century Gothic" w:hAnsi="Century Gothic" w:cs="Arial"/>
                <w:color w:val="002060"/>
                <w:sz w:val="20"/>
                <w:szCs w:val="20"/>
              </w:rPr>
              <w:t xml:space="preserve"> coding and templates against complex NHS England business rules standards</w:t>
            </w:r>
          </w:p>
          <w:p w14:paraId="0C8ACA26" w14:textId="661D48FE" w:rsidR="00A45578" w:rsidRPr="00A63676"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 xml:space="preserve">Installation of user-friendly resources and tools, in particular, </w:t>
            </w:r>
            <w:r>
              <w:rPr>
                <w:rFonts w:ascii="Century Gothic" w:hAnsi="Century Gothic" w:cs="Arial"/>
                <w:color w:val="002060"/>
                <w:sz w:val="20"/>
                <w:szCs w:val="20"/>
              </w:rPr>
              <w:t>NDH</w:t>
            </w:r>
            <w:r w:rsidRPr="00A63676">
              <w:rPr>
                <w:rFonts w:ascii="Century Gothic" w:hAnsi="Century Gothic" w:cs="Arial"/>
                <w:color w:val="002060"/>
                <w:sz w:val="20"/>
                <w:szCs w:val="20"/>
              </w:rPr>
              <w:t xml:space="preserve"> Enhanced Service templates to PCN and practices in order to optimise patient </w:t>
            </w:r>
            <w:proofErr w:type="gramStart"/>
            <w:r w:rsidRPr="00A63676">
              <w:rPr>
                <w:rFonts w:ascii="Century Gothic" w:hAnsi="Century Gothic" w:cs="Arial"/>
                <w:color w:val="002060"/>
                <w:sz w:val="20"/>
                <w:szCs w:val="20"/>
              </w:rPr>
              <w:t>care</w:t>
            </w:r>
            <w:proofErr w:type="gramEnd"/>
          </w:p>
          <w:p w14:paraId="4379D105" w14:textId="77777777" w:rsidR="00A45578" w:rsidRPr="00A63676"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To provide education and training operational 365 days a year</w:t>
            </w:r>
          </w:p>
          <w:p w14:paraId="33549604" w14:textId="77777777" w:rsidR="00A45578" w:rsidRPr="00A63676"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To be the vehicle to help PCNs achieve value money for public funds for 2022/23</w:t>
            </w:r>
          </w:p>
          <w:p w14:paraId="4F0BF231" w14:textId="77777777" w:rsidR="00A45578" w:rsidRPr="00A63676" w:rsidRDefault="00A45578" w:rsidP="00DB3A64">
            <w:pPr>
              <w:pStyle w:val="ListParagraph"/>
              <w:ind w:left="204"/>
              <w:rPr>
                <w:rFonts w:ascii="Century Gothic" w:hAnsi="Century Gothic" w:cs="Arial"/>
                <w:color w:val="002060"/>
                <w:sz w:val="20"/>
                <w:szCs w:val="20"/>
              </w:rPr>
            </w:pPr>
          </w:p>
        </w:tc>
      </w:tr>
      <w:tr w:rsidR="00A45578" w14:paraId="50750AC8" w14:textId="77777777" w:rsidTr="00DB3A64">
        <w:tc>
          <w:tcPr>
            <w:tcW w:w="0" w:type="auto"/>
            <w:shd w:val="clear" w:color="auto" w:fill="0070C0"/>
          </w:tcPr>
          <w:p w14:paraId="609B5672" w14:textId="77777777" w:rsidR="00A45578" w:rsidRPr="00A63676" w:rsidRDefault="00A45578" w:rsidP="00DB3A64">
            <w:pPr>
              <w:jc w:val="center"/>
              <w:rPr>
                <w:rFonts w:ascii="Century Gothic" w:hAnsi="Century Gothic" w:cs="Arial"/>
                <w:b/>
                <w:color w:val="FFFFFF" w:themeColor="background1"/>
                <w:sz w:val="20"/>
                <w:szCs w:val="20"/>
              </w:rPr>
            </w:pPr>
          </w:p>
          <w:p w14:paraId="42504C80" w14:textId="77777777" w:rsidR="00A45578" w:rsidRPr="00A63676" w:rsidRDefault="00A45578" w:rsidP="00DB3A64">
            <w:pPr>
              <w:jc w:val="center"/>
              <w:rPr>
                <w:rFonts w:ascii="Century Gothic" w:hAnsi="Century Gothic" w:cs="Arial"/>
                <w:b/>
                <w:color w:val="FFFFFF" w:themeColor="background1"/>
                <w:sz w:val="20"/>
                <w:szCs w:val="20"/>
              </w:rPr>
            </w:pPr>
          </w:p>
          <w:p w14:paraId="1D93925C" w14:textId="77777777" w:rsidR="00A45578" w:rsidRPr="00A63676" w:rsidRDefault="00A45578" w:rsidP="00DB3A64">
            <w:pPr>
              <w:jc w:val="center"/>
              <w:rPr>
                <w:rFonts w:ascii="Century Gothic" w:hAnsi="Century Gothic" w:cs="Arial"/>
                <w:b/>
                <w:color w:val="FFFFFF" w:themeColor="background1"/>
                <w:sz w:val="20"/>
                <w:szCs w:val="20"/>
              </w:rPr>
            </w:pPr>
            <w:r w:rsidRPr="00A63676">
              <w:rPr>
                <w:rFonts w:ascii="Century Gothic" w:hAnsi="Century Gothic" w:cs="Arial"/>
                <w:b/>
                <w:color w:val="FFFFFF" w:themeColor="background1"/>
                <w:sz w:val="20"/>
                <w:szCs w:val="20"/>
              </w:rPr>
              <w:t>Benefits</w:t>
            </w:r>
          </w:p>
          <w:p w14:paraId="41628E51" w14:textId="77777777" w:rsidR="00A45578" w:rsidRPr="00A63676" w:rsidRDefault="00A45578" w:rsidP="00DB3A64">
            <w:pPr>
              <w:jc w:val="center"/>
              <w:rPr>
                <w:rFonts w:ascii="Century Gothic" w:hAnsi="Century Gothic" w:cs="Arial"/>
                <w:b/>
                <w:sz w:val="20"/>
                <w:szCs w:val="20"/>
              </w:rPr>
            </w:pPr>
          </w:p>
        </w:tc>
        <w:tc>
          <w:tcPr>
            <w:tcW w:w="0" w:type="auto"/>
            <w:shd w:val="clear" w:color="auto" w:fill="BDD6EE" w:themeFill="accent5" w:themeFillTint="66"/>
          </w:tcPr>
          <w:p w14:paraId="7CFA8A6B" w14:textId="77777777" w:rsidR="00A45578" w:rsidRPr="00A63676"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On average, 4 weeks earlier performance reporting allowing earlier decision</w:t>
            </w:r>
            <w:r>
              <w:rPr>
                <w:rFonts w:ascii="Century Gothic" w:hAnsi="Century Gothic" w:cs="Arial"/>
                <w:color w:val="002060"/>
                <w:sz w:val="20"/>
                <w:szCs w:val="20"/>
              </w:rPr>
              <w:t xml:space="preserve"> making in order to optimise </w:t>
            </w:r>
            <w:r w:rsidRPr="00A63676">
              <w:rPr>
                <w:rFonts w:ascii="Century Gothic" w:hAnsi="Century Gothic" w:cs="Arial"/>
                <w:color w:val="002060"/>
                <w:sz w:val="20"/>
                <w:szCs w:val="20"/>
              </w:rPr>
              <w:t xml:space="preserve">patient </w:t>
            </w:r>
            <w:proofErr w:type="gramStart"/>
            <w:r w:rsidRPr="00A63676">
              <w:rPr>
                <w:rFonts w:ascii="Century Gothic" w:hAnsi="Century Gothic" w:cs="Arial"/>
                <w:color w:val="002060"/>
                <w:sz w:val="20"/>
                <w:szCs w:val="20"/>
              </w:rPr>
              <w:t>care</w:t>
            </w:r>
            <w:proofErr w:type="gramEnd"/>
            <w:r w:rsidRPr="00A63676">
              <w:rPr>
                <w:rFonts w:ascii="Century Gothic" w:hAnsi="Century Gothic" w:cs="Arial"/>
                <w:color w:val="002060"/>
                <w:sz w:val="20"/>
                <w:szCs w:val="20"/>
              </w:rPr>
              <w:t xml:space="preserve"> </w:t>
            </w:r>
          </w:p>
          <w:p w14:paraId="636BB4AE" w14:textId="59127AE1" w:rsidR="00A45578" w:rsidRDefault="00A45578" w:rsidP="00DB3A64">
            <w:pPr>
              <w:pStyle w:val="ListParagraph"/>
              <w:numPr>
                <w:ilvl w:val="0"/>
                <w:numId w:val="1"/>
              </w:numPr>
              <w:ind w:left="204" w:hanging="170"/>
              <w:rPr>
                <w:rFonts w:ascii="Century Gothic" w:hAnsi="Century Gothic" w:cs="Arial"/>
                <w:color w:val="002060"/>
                <w:sz w:val="20"/>
                <w:szCs w:val="20"/>
              </w:rPr>
            </w:pPr>
            <w:r>
              <w:rPr>
                <w:rFonts w:ascii="Century Gothic" w:hAnsi="Century Gothic" w:cs="Arial"/>
                <w:color w:val="002060"/>
                <w:sz w:val="20"/>
                <w:szCs w:val="20"/>
              </w:rPr>
              <w:t xml:space="preserve">The PCNs achieved </w:t>
            </w:r>
            <w:proofErr w:type="gramStart"/>
            <w:r>
              <w:rPr>
                <w:rFonts w:ascii="Century Gothic" w:hAnsi="Century Gothic" w:cs="Arial"/>
                <w:color w:val="002060"/>
                <w:sz w:val="20"/>
                <w:szCs w:val="20"/>
              </w:rPr>
              <w:t>a</w:t>
            </w:r>
            <w:proofErr w:type="gramEnd"/>
            <w:r>
              <w:rPr>
                <w:rFonts w:ascii="Century Gothic" w:hAnsi="Century Gothic" w:cs="Arial"/>
                <w:color w:val="002060"/>
                <w:sz w:val="20"/>
                <w:szCs w:val="20"/>
              </w:rPr>
              <w:t xml:space="preserve"> NDH/Diabetes ratio of 1.62</w:t>
            </w:r>
            <w:r w:rsidRPr="00A63676">
              <w:rPr>
                <w:rFonts w:ascii="Century Gothic" w:hAnsi="Century Gothic" w:cs="Arial"/>
                <w:color w:val="002060"/>
                <w:sz w:val="20"/>
                <w:szCs w:val="20"/>
              </w:rPr>
              <w:t xml:space="preserve"> compared to </w:t>
            </w:r>
            <w:r>
              <w:rPr>
                <w:rFonts w:ascii="Century Gothic" w:hAnsi="Century Gothic" w:cs="Arial"/>
                <w:color w:val="002060"/>
                <w:sz w:val="20"/>
                <w:szCs w:val="20"/>
              </w:rPr>
              <w:t>1.22</w:t>
            </w:r>
            <w:r w:rsidRPr="00A63676">
              <w:rPr>
                <w:rFonts w:ascii="Century Gothic" w:hAnsi="Century Gothic" w:cs="Arial"/>
                <w:color w:val="002060"/>
                <w:sz w:val="20"/>
                <w:szCs w:val="20"/>
              </w:rPr>
              <w:t xml:space="preserve"> </w:t>
            </w:r>
            <w:r>
              <w:rPr>
                <w:rFonts w:ascii="Century Gothic" w:hAnsi="Century Gothic" w:cs="Arial"/>
                <w:color w:val="002060"/>
                <w:sz w:val="20"/>
                <w:szCs w:val="20"/>
              </w:rPr>
              <w:t>across</w:t>
            </w:r>
            <w:r w:rsidRPr="00A63676">
              <w:rPr>
                <w:rFonts w:ascii="Century Gothic" w:hAnsi="Century Gothic" w:cs="Arial"/>
                <w:color w:val="002060"/>
                <w:sz w:val="20"/>
                <w:szCs w:val="20"/>
              </w:rPr>
              <w:t xml:space="preserve"> NW London ICS practices.  </w:t>
            </w:r>
            <w:r>
              <w:rPr>
                <w:rFonts w:ascii="Century Gothic" w:hAnsi="Century Gothic" w:cs="Arial"/>
                <w:color w:val="002060"/>
                <w:sz w:val="20"/>
                <w:szCs w:val="20"/>
              </w:rPr>
              <w:t xml:space="preserve">This </w:t>
            </w:r>
            <w:proofErr w:type="gramStart"/>
            <w:r>
              <w:rPr>
                <w:rFonts w:ascii="Century Gothic" w:hAnsi="Century Gothic" w:cs="Arial"/>
                <w:color w:val="002060"/>
                <w:sz w:val="20"/>
                <w:szCs w:val="20"/>
              </w:rPr>
              <w:t>lead</w:t>
            </w:r>
            <w:proofErr w:type="gramEnd"/>
            <w:r>
              <w:rPr>
                <w:rFonts w:ascii="Century Gothic" w:hAnsi="Century Gothic" w:cs="Arial"/>
                <w:color w:val="002060"/>
                <w:sz w:val="20"/>
                <w:szCs w:val="20"/>
              </w:rPr>
              <w:t xml:space="preserve"> to a wider number of patients being appropriately diagnosed with Non Diabetic Hyperglycaemia and therefore benefitting from regular check-ups and screening</w:t>
            </w:r>
          </w:p>
          <w:p w14:paraId="21BAD008" w14:textId="069405ED" w:rsidR="00A45578" w:rsidRDefault="00A45578" w:rsidP="00DB3A64">
            <w:pPr>
              <w:pStyle w:val="ListParagraph"/>
              <w:numPr>
                <w:ilvl w:val="0"/>
                <w:numId w:val="1"/>
              </w:numPr>
              <w:ind w:left="204" w:hanging="170"/>
              <w:rPr>
                <w:rFonts w:ascii="Century Gothic" w:hAnsi="Century Gothic" w:cs="Arial"/>
                <w:color w:val="002060"/>
                <w:sz w:val="20"/>
                <w:szCs w:val="20"/>
              </w:rPr>
            </w:pPr>
            <w:r>
              <w:rPr>
                <w:rFonts w:ascii="Century Gothic" w:hAnsi="Century Gothic" w:cs="Arial"/>
                <w:color w:val="002060"/>
                <w:sz w:val="20"/>
                <w:szCs w:val="20"/>
              </w:rPr>
              <w:t>The PCNs achieved a completed health check rate of 52% for patients with NDH compared to 50% across NW London ICS practices, meaning an additional 701 patients had health checks than expected compared with the background rate.</w:t>
            </w:r>
          </w:p>
          <w:p w14:paraId="5492922A" w14:textId="26A9FCC2" w:rsidR="00A45578" w:rsidRPr="00A63676"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This resulted in wider ICS objectives for ND</w:t>
            </w:r>
            <w:r>
              <w:rPr>
                <w:rFonts w:ascii="Century Gothic" w:hAnsi="Century Gothic" w:cs="Arial"/>
                <w:color w:val="002060"/>
                <w:sz w:val="20"/>
                <w:szCs w:val="20"/>
              </w:rPr>
              <w:t>H</w:t>
            </w:r>
            <w:r w:rsidRPr="00A63676">
              <w:rPr>
                <w:rFonts w:ascii="Century Gothic" w:hAnsi="Century Gothic" w:cs="Arial"/>
                <w:color w:val="002060"/>
                <w:sz w:val="20"/>
                <w:szCs w:val="20"/>
              </w:rPr>
              <w:t xml:space="preserve"> being </w:t>
            </w:r>
            <w:proofErr w:type="gramStart"/>
            <w:r w:rsidRPr="00A63676">
              <w:rPr>
                <w:rFonts w:ascii="Century Gothic" w:hAnsi="Century Gothic" w:cs="Arial"/>
                <w:color w:val="002060"/>
                <w:sz w:val="20"/>
                <w:szCs w:val="20"/>
              </w:rPr>
              <w:t>met</w:t>
            </w:r>
            <w:proofErr w:type="gramEnd"/>
          </w:p>
          <w:p w14:paraId="15FE4401" w14:textId="77777777" w:rsidR="00A45578" w:rsidRPr="00A63676"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High provider satisfaction against contract requirements in 2023/23</w:t>
            </w:r>
          </w:p>
          <w:p w14:paraId="56839FAC" w14:textId="77777777" w:rsidR="00A45578" w:rsidRDefault="00A45578" w:rsidP="00DB3A64">
            <w:pPr>
              <w:pStyle w:val="ListParagraph"/>
              <w:numPr>
                <w:ilvl w:val="0"/>
                <w:numId w:val="1"/>
              </w:numPr>
              <w:ind w:left="204" w:hanging="170"/>
              <w:rPr>
                <w:rFonts w:ascii="Century Gothic" w:hAnsi="Century Gothic" w:cs="Arial"/>
                <w:color w:val="002060"/>
                <w:sz w:val="20"/>
                <w:szCs w:val="20"/>
              </w:rPr>
            </w:pPr>
            <w:r w:rsidRPr="00A63676">
              <w:rPr>
                <w:rFonts w:ascii="Century Gothic" w:hAnsi="Century Gothic" w:cs="Arial"/>
                <w:color w:val="002060"/>
                <w:sz w:val="20"/>
                <w:szCs w:val="20"/>
              </w:rPr>
              <w:t>Practice by practice performance report forecasting the end-of year posit</w:t>
            </w:r>
            <w:r>
              <w:rPr>
                <w:rFonts w:ascii="Century Gothic" w:hAnsi="Century Gothic" w:cs="Arial"/>
                <w:color w:val="002060"/>
                <w:sz w:val="20"/>
                <w:szCs w:val="20"/>
              </w:rPr>
              <w:t>i</w:t>
            </w:r>
            <w:r w:rsidRPr="00A63676">
              <w:rPr>
                <w:rFonts w:ascii="Century Gothic" w:hAnsi="Century Gothic" w:cs="Arial"/>
                <w:color w:val="002060"/>
                <w:sz w:val="20"/>
                <w:szCs w:val="20"/>
              </w:rPr>
              <w:t xml:space="preserve">on which improved planning and resource </w:t>
            </w:r>
            <w:proofErr w:type="gramStart"/>
            <w:r w:rsidRPr="00A63676">
              <w:rPr>
                <w:rFonts w:ascii="Century Gothic" w:hAnsi="Century Gothic" w:cs="Arial"/>
                <w:color w:val="002060"/>
                <w:sz w:val="20"/>
                <w:szCs w:val="20"/>
              </w:rPr>
              <w:t>allocation</w:t>
            </w:r>
            <w:proofErr w:type="gramEnd"/>
          </w:p>
          <w:p w14:paraId="00FBD5DA" w14:textId="7591EA68" w:rsidR="00A45578" w:rsidRDefault="00A45578" w:rsidP="00DB3A64">
            <w:pPr>
              <w:pStyle w:val="ListParagraph"/>
              <w:numPr>
                <w:ilvl w:val="0"/>
                <w:numId w:val="1"/>
              </w:numPr>
              <w:ind w:left="204" w:hanging="170"/>
              <w:rPr>
                <w:rFonts w:ascii="Century Gothic" w:hAnsi="Century Gothic" w:cs="Arial"/>
                <w:color w:val="002060"/>
                <w:sz w:val="20"/>
                <w:szCs w:val="20"/>
              </w:rPr>
            </w:pPr>
            <w:r>
              <w:rPr>
                <w:rFonts w:ascii="Century Gothic" w:hAnsi="Century Gothic" w:cs="Arial"/>
                <w:color w:val="002060"/>
                <w:sz w:val="20"/>
                <w:szCs w:val="20"/>
              </w:rPr>
              <w:lastRenderedPageBreak/>
              <w:t xml:space="preserve">Practices achieved </w:t>
            </w:r>
            <w:r w:rsidR="004759CC">
              <w:rPr>
                <w:rFonts w:ascii="Century Gothic" w:hAnsi="Century Gothic" w:cs="Arial"/>
                <w:color w:val="002060"/>
                <w:sz w:val="20"/>
                <w:szCs w:val="20"/>
              </w:rPr>
              <w:t>88% against maximum funding available, compared to 76% across the ICS leading to an additional</w:t>
            </w:r>
            <w:r w:rsidR="004759CC" w:rsidRPr="004759CC">
              <w:rPr>
                <w:rFonts w:ascii="Century Gothic" w:hAnsi="Century Gothic" w:cs="Arial"/>
                <w:color w:val="002060"/>
                <w:sz w:val="20"/>
                <w:szCs w:val="20"/>
              </w:rPr>
              <w:t xml:space="preserve"> £73,704.68</w:t>
            </w:r>
            <w:r w:rsidR="004759CC">
              <w:rPr>
                <w:rFonts w:ascii="Century Gothic" w:hAnsi="Century Gothic" w:cs="Arial"/>
                <w:color w:val="002060"/>
                <w:sz w:val="20"/>
                <w:szCs w:val="20"/>
              </w:rPr>
              <w:t xml:space="preserve"> of funding for PCNs.</w:t>
            </w:r>
          </w:p>
          <w:p w14:paraId="5F8A1C85" w14:textId="77777777" w:rsidR="00A45578" w:rsidRPr="00A63676" w:rsidRDefault="00A45578" w:rsidP="00A45578">
            <w:pPr>
              <w:pStyle w:val="ListParagraph"/>
              <w:ind w:left="204"/>
              <w:rPr>
                <w:rFonts w:ascii="Century Gothic" w:hAnsi="Century Gothic" w:cs="Arial"/>
                <w:b/>
                <w:sz w:val="20"/>
                <w:szCs w:val="20"/>
              </w:rPr>
            </w:pPr>
          </w:p>
        </w:tc>
      </w:tr>
    </w:tbl>
    <w:p w14:paraId="62D2B342" w14:textId="77777777" w:rsidR="00A45578" w:rsidRDefault="00A45578" w:rsidP="00A45578">
      <w:pPr>
        <w:rPr>
          <w:rFonts w:ascii="Arial" w:hAnsi="Arial" w:cs="Arial"/>
          <w:b/>
          <w:sz w:val="32"/>
          <w:szCs w:val="32"/>
        </w:rPr>
      </w:pPr>
    </w:p>
    <w:p w14:paraId="4833DD9E" w14:textId="77777777" w:rsidR="00A45578" w:rsidRDefault="00A45578" w:rsidP="00A45578">
      <w:pPr>
        <w:jc w:val="center"/>
        <w:rPr>
          <w:rFonts w:ascii="Arial" w:hAnsi="Arial" w:cs="Arial"/>
          <w:b/>
          <w:sz w:val="32"/>
          <w:szCs w:val="32"/>
        </w:rPr>
      </w:pPr>
    </w:p>
    <w:p w14:paraId="30277572" w14:textId="77777777" w:rsidR="002753CF" w:rsidRDefault="002753CF"/>
    <w:sectPr w:rsidR="002753CF" w:rsidSect="009A6CED">
      <w:pgSz w:w="11906" w:h="16838"/>
      <w:pgMar w:top="709" w:right="873" w:bottom="1440"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D64"/>
    <w:multiLevelType w:val="hybridMultilevel"/>
    <w:tmpl w:val="C406B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276852"/>
    <w:multiLevelType w:val="hybridMultilevel"/>
    <w:tmpl w:val="846EF32C"/>
    <w:lvl w:ilvl="0" w:tplc="439C22A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07041">
    <w:abstractNumId w:val="1"/>
  </w:num>
  <w:num w:numId="2" w16cid:durableId="202801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78"/>
    <w:rsid w:val="002753CF"/>
    <w:rsid w:val="002E0A01"/>
    <w:rsid w:val="004759CC"/>
    <w:rsid w:val="00A45578"/>
    <w:rsid w:val="00FD4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D2AD12"/>
  <w15:chartTrackingRefBased/>
  <w15:docId w15:val="{4388F5CB-6E69-BF46-9915-1FAB930E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Dustyn Saint</dc:creator>
  <cp:keywords/>
  <dc:description/>
  <cp:lastModifiedBy>Dustyn Saint</cp:lastModifiedBy>
  <cp:revision>1</cp:revision>
  <dcterms:created xsi:type="dcterms:W3CDTF">2023-05-25T06:28:00Z</dcterms:created>
  <dcterms:modified xsi:type="dcterms:W3CDTF">2023-05-25T06:40:00Z</dcterms:modified>
</cp:coreProperties>
</file>